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E6EA7" w14:textId="77777777" w:rsidR="00581C69" w:rsidRDefault="00581C69" w:rsidP="003B57D3">
      <w:pPr>
        <w:keepNext/>
        <w:keepLines/>
        <w:widowControl w:val="0"/>
        <w:spacing w:after="220" w:line="295" w:lineRule="auto"/>
        <w:ind w:right="-7"/>
        <w:jc w:val="center"/>
        <w:outlineLvl w:val="1"/>
        <w:rPr>
          <w:rFonts w:ascii="NewsGotT" w:eastAsia="Arial" w:hAnsi="NewsGotT" w:cs="Arial"/>
          <w:b/>
          <w:bCs/>
          <w:color w:val="00000A"/>
          <w:sz w:val="22"/>
          <w:szCs w:val="17"/>
          <w:lang w:val="en-GB" w:bidi="es-ES"/>
        </w:rPr>
      </w:pPr>
      <w:bookmarkStart w:id="0" w:name="bookmark43"/>
      <w:bookmarkStart w:id="1" w:name="_Toc530411502"/>
      <w:bookmarkStart w:id="2" w:name="_Toc530411665"/>
      <w:bookmarkStart w:id="3" w:name="_Toc530411828"/>
      <w:bookmarkStart w:id="4" w:name="_Toc530411991"/>
      <w:bookmarkStart w:id="5" w:name="_Toc530412154"/>
    </w:p>
    <w:p w14:paraId="6AD56E87" w14:textId="56C26F8E" w:rsidR="003B57D3" w:rsidRPr="00D50B39" w:rsidRDefault="003B57D3" w:rsidP="003B57D3">
      <w:pPr>
        <w:keepNext/>
        <w:keepLines/>
        <w:widowControl w:val="0"/>
        <w:spacing w:after="220" w:line="295" w:lineRule="auto"/>
        <w:ind w:right="-7"/>
        <w:jc w:val="center"/>
        <w:outlineLvl w:val="1"/>
        <w:rPr>
          <w:rFonts w:ascii="NewsGotT" w:eastAsia="Arial" w:hAnsi="NewsGotT" w:cs="Arial"/>
          <w:b/>
          <w:bCs/>
          <w:color w:val="00000A"/>
          <w:sz w:val="22"/>
          <w:szCs w:val="17"/>
          <w:lang w:val="en-GB" w:bidi="es-ES"/>
        </w:rPr>
      </w:pPr>
      <w:r w:rsidRPr="00D50B39">
        <w:rPr>
          <w:rFonts w:ascii="NewsGotT" w:eastAsia="Arial" w:hAnsi="NewsGotT" w:cs="Arial"/>
          <w:b/>
          <w:bCs/>
          <w:color w:val="00000A"/>
          <w:sz w:val="22"/>
          <w:szCs w:val="17"/>
          <w:lang w:val="en-GB" w:bidi="es-ES"/>
        </w:rPr>
        <w:t>Annex 3:</w:t>
      </w:r>
      <w:bookmarkEnd w:id="0"/>
      <w:bookmarkEnd w:id="1"/>
      <w:bookmarkEnd w:id="2"/>
      <w:bookmarkEnd w:id="3"/>
      <w:bookmarkEnd w:id="4"/>
      <w:bookmarkEnd w:id="5"/>
    </w:p>
    <w:p w14:paraId="18FE1C45" w14:textId="77777777" w:rsidR="003B57D3" w:rsidRPr="00D50B39" w:rsidRDefault="003B57D3" w:rsidP="003B57D3">
      <w:pPr>
        <w:keepNext/>
        <w:keepLines/>
        <w:widowControl w:val="0"/>
        <w:spacing w:after="220" w:line="295" w:lineRule="auto"/>
        <w:ind w:right="-7"/>
        <w:jc w:val="center"/>
        <w:outlineLvl w:val="1"/>
        <w:rPr>
          <w:rFonts w:ascii="NewsGotT" w:eastAsia="Arial" w:hAnsi="NewsGotT" w:cs="Arial"/>
          <w:b/>
          <w:bCs/>
          <w:color w:val="00000A"/>
          <w:sz w:val="22"/>
          <w:szCs w:val="17"/>
          <w:lang w:val="en-GB" w:bidi="es-ES"/>
        </w:rPr>
      </w:pPr>
      <w:bookmarkStart w:id="6" w:name="bookmark44"/>
      <w:bookmarkStart w:id="7" w:name="_Toc530411503"/>
      <w:bookmarkStart w:id="8" w:name="_Toc530411666"/>
      <w:bookmarkStart w:id="9" w:name="_Toc530411829"/>
      <w:bookmarkStart w:id="10" w:name="_Toc530411992"/>
      <w:bookmarkStart w:id="11" w:name="_Toc530412155"/>
      <w:r w:rsidRPr="00D50B39">
        <w:rPr>
          <w:rFonts w:ascii="NewsGotT" w:eastAsia="Arial" w:hAnsi="NewsGotT" w:cs="Arial"/>
          <w:b/>
          <w:bCs/>
          <w:color w:val="00000A"/>
          <w:sz w:val="22"/>
          <w:szCs w:val="17"/>
          <w:lang w:val="en-GB" w:bidi="es-ES"/>
        </w:rPr>
        <w:t>SPONSOR’S AUTHORISATION FOR THE PUBLICATION OF INFORMATION REGARDING THE STATE AND OTHER BASIC DETAILS OF THE CLINICAL TRIAL</w:t>
      </w:r>
      <w:bookmarkEnd w:id="6"/>
      <w:bookmarkEnd w:id="7"/>
      <w:bookmarkEnd w:id="8"/>
      <w:bookmarkEnd w:id="9"/>
      <w:bookmarkEnd w:id="10"/>
      <w:bookmarkEnd w:id="11"/>
    </w:p>
    <w:p w14:paraId="678F33D8" w14:textId="77777777" w:rsidR="003B57D3" w:rsidRPr="00D50B39" w:rsidRDefault="003B57D3" w:rsidP="003B57D3">
      <w:pPr>
        <w:widowControl w:val="0"/>
        <w:tabs>
          <w:tab w:val="left" w:pos="7797"/>
        </w:tabs>
        <w:spacing w:after="220" w:line="314" w:lineRule="auto"/>
        <w:ind w:right="-7"/>
        <w:jc w:val="both"/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pPr>
      <w:r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>Clinical trials are a great opportunity for patients to access to innovative medicinal products that favour their clinical situation.</w:t>
      </w:r>
    </w:p>
    <w:p w14:paraId="7BC4C8D2" w14:textId="77777777" w:rsidR="003B57D3" w:rsidRPr="00D50B39" w:rsidRDefault="003B57D3" w:rsidP="003B57D3">
      <w:pPr>
        <w:widowControl w:val="0"/>
        <w:tabs>
          <w:tab w:val="left" w:pos="7797"/>
        </w:tabs>
        <w:spacing w:after="220" w:line="314" w:lineRule="auto"/>
        <w:ind w:right="-7"/>
        <w:jc w:val="both"/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pPr>
      <w:r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>In this way, the possibility for certain information regarding the clinical trial to be published on the website of the managing body and/or the Andalusian health authority would increase society’s knowledge of the state of the clinical trials being conducting and would contribute to increasing participation in them.</w:t>
      </w:r>
    </w:p>
    <w:p w14:paraId="47591AF2" w14:textId="77777777" w:rsidR="003B57D3" w:rsidRPr="00D50B39" w:rsidRDefault="003B57D3" w:rsidP="003B57D3">
      <w:pPr>
        <w:widowControl w:val="0"/>
        <w:tabs>
          <w:tab w:val="left" w:pos="7797"/>
        </w:tabs>
        <w:spacing w:after="460" w:line="314" w:lineRule="auto"/>
        <w:ind w:right="-7"/>
        <w:jc w:val="both"/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pPr>
      <w:r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>The managing body and/or the Andalusian health authority will ensure the quality, accuracy and periodical updating of the information and details published on the website.</w:t>
      </w:r>
    </w:p>
    <w:p w14:paraId="406B9D17" w14:textId="67D4C994" w:rsidR="003B57D3" w:rsidRPr="00D50B39" w:rsidRDefault="003B57D3" w:rsidP="003B57D3">
      <w:pPr>
        <w:widowControl w:val="0"/>
        <w:tabs>
          <w:tab w:val="left" w:pos="7797"/>
        </w:tabs>
        <w:spacing w:after="220" w:line="307" w:lineRule="auto"/>
        <w:ind w:right="-7"/>
        <w:jc w:val="both"/>
        <w:rPr>
          <w:rFonts w:ascii="NewsGotT" w:eastAsia="Arial" w:hAnsi="NewsGotT" w:cs="Arial"/>
          <w:color w:val="00000A"/>
          <w:sz w:val="22"/>
          <w:szCs w:val="17"/>
          <w:lang w:val="en-GB" w:bidi="es-ES"/>
        </w:rPr>
      </w:pPr>
      <w:r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 xml:space="preserve">In said context, the sponsor </w:t>
      </w:r>
      <w:r w:rsidRPr="00D50B39">
        <w:rPr>
          <w:rFonts w:ascii="NewsGotT" w:eastAsia="Arial" w:hAnsi="NewsGotT" w:cs="Arial"/>
          <w:b/>
          <w:bCs/>
          <w:color w:val="00000A"/>
          <w:sz w:val="22"/>
          <w:szCs w:val="16"/>
          <w:lang w:val="en-GB" w:bidi="es-ES"/>
        </w:rPr>
        <w:t>HEREBY STATES</w:t>
      </w:r>
    </w:p>
    <w:bookmarkStart w:id="12" w:name="_GoBack"/>
    <w:p w14:paraId="7B7659C3" w14:textId="7BE8422B" w:rsidR="003B57D3" w:rsidRPr="00D50B39" w:rsidRDefault="00422E85" w:rsidP="003B57D3">
      <w:pPr>
        <w:widowControl w:val="0"/>
        <w:tabs>
          <w:tab w:val="left" w:pos="7797"/>
        </w:tabs>
        <w:spacing w:after="220" w:line="290" w:lineRule="auto"/>
        <w:ind w:right="-7"/>
        <w:jc w:val="both"/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pP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13" w:name="Marcar1"/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instrText xml:space="preserve"> FORMCHECKBOX </w:instrText>
      </w:r>
      <w:r w:rsidR="00DF392A"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r>
      <w:r w:rsidR="00DF392A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separate"/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end"/>
      </w:r>
      <w:bookmarkEnd w:id="13"/>
      <w:bookmarkEnd w:id="12"/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 xml:space="preserve"> </w:t>
      </w:r>
      <w:r w:rsidR="00094096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begin">
          <w:ffData>
            <w:name w:val="Texto123"/>
            <w:enabled/>
            <w:calcOnExit w:val="0"/>
            <w:textInput/>
          </w:ffData>
        </w:fldChar>
      </w:r>
      <w:r w:rsidR="00094096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instrText xml:space="preserve"> FORMTEXT </w:instrText>
      </w:r>
      <w:r w:rsidR="00DF392A"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r>
      <w:r w:rsidR="00DF392A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separate"/>
      </w:r>
      <w:r w:rsidR="00094096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end"/>
      </w:r>
      <w:r w:rsidR="003B57D3"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>That they authorise the managing body and/or the Andalusian health authority to publish information, for informative purposes, the information that is publicly accessible from the Spanish Register of Clinical Studies (REec), on their website.</w:t>
      </w:r>
    </w:p>
    <w:p w14:paraId="065E88F3" w14:textId="06BF6F4F" w:rsidR="003B57D3" w:rsidRPr="00D50B39" w:rsidRDefault="00422E85" w:rsidP="003B57D3">
      <w:pPr>
        <w:widowControl w:val="0"/>
        <w:tabs>
          <w:tab w:val="left" w:pos="7797"/>
        </w:tabs>
        <w:spacing w:after="220" w:line="290" w:lineRule="auto"/>
        <w:ind w:right="-7"/>
        <w:jc w:val="both"/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pP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Marcar2"/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instrText xml:space="preserve"> FORMCHECKBOX </w:instrText>
      </w:r>
      <w:r w:rsidR="00DF392A"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r>
      <w:r w:rsidR="00DF392A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separate"/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end"/>
      </w:r>
      <w:bookmarkEnd w:id="14"/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 xml:space="preserve"> T</w:t>
      </w:r>
      <w:r w:rsidR="003B57D3"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 xml:space="preserve">hat they do not authorise the managing body and/or the Andalusian health authority to publish the </w:t>
      </w:r>
      <w:proofErr w:type="gramStart"/>
      <w:r w:rsidR="003B57D3"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>aforementioned information</w:t>
      </w:r>
      <w:proofErr w:type="gramEnd"/>
      <w:r w:rsidR="003B57D3"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 xml:space="preserve"> on their website.</w:t>
      </w:r>
    </w:p>
    <w:p w14:paraId="73B89689" w14:textId="77777777" w:rsidR="003B57D3" w:rsidRPr="00D50B39" w:rsidRDefault="003B57D3" w:rsidP="003B57D3">
      <w:pPr>
        <w:widowControl w:val="0"/>
        <w:tabs>
          <w:tab w:val="left" w:leader="underscore" w:pos="3146"/>
          <w:tab w:val="left" w:leader="underscore" w:pos="3582"/>
          <w:tab w:val="left" w:leader="underscore" w:pos="4139"/>
        </w:tabs>
        <w:spacing w:after="380" w:line="240" w:lineRule="atLeast"/>
        <w:ind w:right="-6"/>
        <w:jc w:val="both"/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pPr>
      <w:r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 xml:space="preserve">In </w:t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begin">
          <w:ffData>
            <w:name w:val="Texto123"/>
            <w:enabled/>
            <w:calcOnExit w:val="0"/>
            <w:textInput/>
          </w:ffData>
        </w:fldChar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instrText xml:space="preserve"> FORMTEXT </w:instrText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separate"/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end"/>
      </w:r>
      <w:r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>, on</w:t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begin">
          <w:ffData>
            <w:name w:val="Texto124"/>
            <w:enabled/>
            <w:calcOnExit w:val="0"/>
            <w:textInput/>
          </w:ffData>
        </w:fldChar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instrText xml:space="preserve"> FORMTEXT </w:instrText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separate"/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end"/>
      </w:r>
      <w:r w:rsidRPr="00D50B39"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t>20</w:t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begin">
          <w:ffData>
            <w:name w:val="Texto125"/>
            <w:enabled/>
            <w:calcOnExit w:val="0"/>
            <w:textInput/>
          </w:ffData>
        </w:fldChar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instrText xml:space="preserve"> FORMTEXT </w:instrText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separate"/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GB" w:bidi="es-ES"/>
        </w:rPr>
        <w:t> </w:t>
      </w:r>
      <w:r>
        <w:rPr>
          <w:rFonts w:ascii="NewsGotT" w:eastAsia="Arial" w:hAnsi="NewsGotT" w:cs="Arial"/>
          <w:color w:val="00000A"/>
          <w:sz w:val="22"/>
          <w:szCs w:val="16"/>
          <w:lang w:val="en-GB" w:bidi="es-ES"/>
        </w:rPr>
        <w:fldChar w:fldCharType="end"/>
      </w:r>
    </w:p>
    <w:p w14:paraId="0B73F1D2" w14:textId="77777777" w:rsidR="003B57D3" w:rsidRPr="00BF32CB" w:rsidRDefault="003B57D3" w:rsidP="003B57D3">
      <w:pPr>
        <w:widowControl w:val="0"/>
        <w:spacing w:after="100" w:afterAutospacing="1"/>
        <w:ind w:right="-6"/>
        <w:jc w:val="both"/>
        <w:rPr>
          <w:rFonts w:ascii="NewsGotT" w:eastAsia="Arial" w:hAnsi="NewsGotT" w:cs="Arial"/>
          <w:color w:val="00000A"/>
          <w:sz w:val="22"/>
          <w:szCs w:val="16"/>
          <w:lang w:val="en-US" w:bidi="es-ES"/>
        </w:rPr>
      </w:pPr>
      <w:r w:rsidRPr="00BF32CB">
        <w:rPr>
          <w:rFonts w:ascii="NewsGotT" w:eastAsia="Arial" w:hAnsi="NewsGotT" w:cs="Arial"/>
          <w:color w:val="00000A"/>
          <w:sz w:val="22"/>
          <w:szCs w:val="16"/>
          <w:lang w:val="en-US" w:bidi="es-ES"/>
        </w:rPr>
        <w:t xml:space="preserve">Signed: </w:t>
      </w:r>
      <w:bookmarkStart w:id="15" w:name="Texto129"/>
      <w:r>
        <w:rPr>
          <w:rFonts w:ascii="NewsGotT" w:eastAsia="Arial" w:hAnsi="NewsGotT" w:cs="Arial"/>
          <w:color w:val="00000A"/>
          <w:sz w:val="22"/>
          <w:szCs w:val="16"/>
          <w:lang w:val="en-US" w:bidi="es-ES"/>
        </w:rPr>
        <w:fldChar w:fldCharType="begin">
          <w:ffData>
            <w:name w:val="Texto129"/>
            <w:enabled/>
            <w:calcOnExit w:val="0"/>
            <w:textInput/>
          </w:ffData>
        </w:fldChar>
      </w:r>
      <w:r>
        <w:rPr>
          <w:rFonts w:ascii="NewsGotT" w:eastAsia="Arial" w:hAnsi="NewsGotT" w:cs="Arial"/>
          <w:color w:val="00000A"/>
          <w:sz w:val="22"/>
          <w:szCs w:val="16"/>
          <w:lang w:val="en-US" w:bidi="es-ES"/>
        </w:rPr>
        <w:instrText xml:space="preserve"> FORMTEXT </w:instrText>
      </w:r>
      <w:r>
        <w:rPr>
          <w:rFonts w:ascii="NewsGotT" w:eastAsia="Arial" w:hAnsi="NewsGotT" w:cs="Arial"/>
          <w:color w:val="00000A"/>
          <w:sz w:val="22"/>
          <w:szCs w:val="16"/>
          <w:lang w:val="en-US" w:bidi="es-ES"/>
        </w:rPr>
      </w:r>
      <w:r>
        <w:rPr>
          <w:rFonts w:ascii="NewsGotT" w:eastAsia="Arial" w:hAnsi="NewsGotT" w:cs="Arial"/>
          <w:color w:val="00000A"/>
          <w:sz w:val="22"/>
          <w:szCs w:val="16"/>
          <w:lang w:val="en-US" w:bidi="es-ES"/>
        </w:rPr>
        <w:fldChar w:fldCharType="separate"/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US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US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US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US" w:bidi="es-ES"/>
        </w:rPr>
        <w:t> </w:t>
      </w:r>
      <w:r>
        <w:rPr>
          <w:rFonts w:ascii="NewsGotT" w:eastAsia="Arial" w:hAnsi="NewsGotT" w:cs="Arial"/>
          <w:noProof/>
          <w:color w:val="00000A"/>
          <w:sz w:val="22"/>
          <w:szCs w:val="16"/>
          <w:lang w:val="en-US" w:bidi="es-ES"/>
        </w:rPr>
        <w:t> </w:t>
      </w:r>
      <w:r>
        <w:rPr>
          <w:rFonts w:ascii="NewsGotT" w:eastAsia="Arial" w:hAnsi="NewsGotT" w:cs="Arial"/>
          <w:color w:val="00000A"/>
          <w:sz w:val="22"/>
          <w:szCs w:val="16"/>
          <w:lang w:val="en-US" w:bidi="es-ES"/>
        </w:rPr>
        <w:fldChar w:fldCharType="end"/>
      </w:r>
      <w:bookmarkEnd w:id="15"/>
    </w:p>
    <w:p w14:paraId="7A10B610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6E258D87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31B36EDA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4BB06FF2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4AC36D15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463C941F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1D0B4CC5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558CDD6F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1817CA30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63B44543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15D21387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3743E302" w14:textId="77777777" w:rsidR="003B57D3" w:rsidRPr="00BF32CB" w:rsidRDefault="003B57D3" w:rsidP="003B57D3">
      <w:pPr>
        <w:widowControl w:val="0"/>
        <w:ind w:right="-6"/>
        <w:jc w:val="both"/>
        <w:rPr>
          <w:rFonts w:ascii="NewsGotT" w:eastAsia="Arial" w:hAnsi="NewsGotT" w:cs="Arial"/>
          <w:b/>
          <w:bCs/>
          <w:color w:val="007A3D"/>
          <w:sz w:val="18"/>
          <w:szCs w:val="12"/>
          <w:lang w:val="en-US" w:bidi="es-ES"/>
        </w:rPr>
      </w:pPr>
    </w:p>
    <w:p w14:paraId="04A36336" w14:textId="77777777" w:rsidR="00C85CCE" w:rsidRDefault="00C85CCE"/>
    <w:sectPr w:rsidR="00C85CCE" w:rsidSect="006537CB">
      <w:headerReference w:type="default" r:id="rId6"/>
      <w:pgSz w:w="11906" w:h="16838"/>
      <w:pgMar w:top="1417" w:right="1701" w:bottom="1417" w:left="1701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EF69C" w14:textId="77777777" w:rsidR="00FE2A5F" w:rsidRDefault="00FE2A5F" w:rsidP="00581C69">
      <w:r>
        <w:separator/>
      </w:r>
    </w:p>
  </w:endnote>
  <w:endnote w:type="continuationSeparator" w:id="0">
    <w:p w14:paraId="527A3729" w14:textId="77777777" w:rsidR="00FE2A5F" w:rsidRDefault="00FE2A5F" w:rsidP="0058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ewsGotT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3F387" w14:textId="77777777" w:rsidR="00FE2A5F" w:rsidRDefault="00FE2A5F" w:rsidP="00581C69">
      <w:r>
        <w:separator/>
      </w:r>
    </w:p>
  </w:footnote>
  <w:footnote w:type="continuationSeparator" w:id="0">
    <w:p w14:paraId="0625FF09" w14:textId="77777777" w:rsidR="00FE2A5F" w:rsidRDefault="00FE2A5F" w:rsidP="00581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D9D83" w14:textId="6889BD54" w:rsidR="00581C69" w:rsidRPr="006537CB" w:rsidRDefault="006537CB" w:rsidP="006537CB">
    <w:pPr>
      <w:rPr>
        <w:rFonts w:eastAsia="Times New Roman"/>
      </w:rPr>
    </w:pPr>
    <w:r>
      <w:rPr>
        <w:noProof/>
      </w:rPr>
      <mc:AlternateContent>
        <mc:Choice Requires="wps">
          <w:drawing>
            <wp:anchor distT="0" distB="360045" distL="114300" distR="114300" simplePos="0" relativeHeight="251657216" behindDoc="0" locked="0" layoutInCell="1" allowOverlap="1" wp14:anchorId="7121D7A1" wp14:editId="72FADF01">
              <wp:simplePos x="0" y="0"/>
              <wp:positionH relativeFrom="column">
                <wp:posOffset>3253740</wp:posOffset>
              </wp:positionH>
              <wp:positionV relativeFrom="page">
                <wp:posOffset>533400</wp:posOffset>
              </wp:positionV>
              <wp:extent cx="2346960" cy="514350"/>
              <wp:effectExtent l="0" t="0" r="15240" b="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514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12AE16" w14:textId="77777777" w:rsidR="006537CB" w:rsidRDefault="006537CB" w:rsidP="006537CB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11AD57DD" w14:textId="77777777" w:rsidR="006537CB" w:rsidRDefault="006537CB" w:rsidP="006537CB">
                          <w:pPr>
                            <w:pStyle w:val="Cabecera-Centrodirectivo"/>
                          </w:pPr>
                          <w:r>
                            <w:t>Fundación para la Investigación Biosanitaria de Andalucía Oriental – Alejandro Otero</w:t>
                          </w:r>
                        </w:p>
                        <w:p w14:paraId="421072E8" w14:textId="77777777" w:rsidR="006537CB" w:rsidRDefault="006537CB" w:rsidP="006537CB">
                          <w:pPr>
                            <w:pStyle w:val="Cabecera-Centrodirectivo"/>
                          </w:pPr>
                        </w:p>
                        <w:p w14:paraId="0C14FBE9" w14:textId="77777777" w:rsidR="006537CB" w:rsidRDefault="006537CB" w:rsidP="006537C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1D7A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6.2pt;margin-top:42pt;width:184.8pt;height:40.5pt;z-index:25165721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" filled="f" stroked="f" strokeweight=".5pt">
              <v:textbox inset="0,0,0,0">
                <w:txbxContent>
                  <w:p w14:paraId="3212AE16" w14:textId="77777777" w:rsidR="006537CB" w:rsidRDefault="006537CB" w:rsidP="006537CB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11AD57DD" w14:textId="77777777" w:rsidR="006537CB" w:rsidRDefault="006537CB" w:rsidP="006537CB">
                    <w:pPr>
                      <w:pStyle w:val="Cabecera-Centrodirectivo"/>
                    </w:pPr>
                    <w:r>
                      <w:t>Fundación para la Investigación Biosanitaria de Andalucía Oriental – Alejandro Otero</w:t>
                    </w:r>
                  </w:p>
                  <w:p w14:paraId="421072E8" w14:textId="77777777" w:rsidR="006537CB" w:rsidRDefault="006537CB" w:rsidP="006537CB">
                    <w:pPr>
                      <w:pStyle w:val="Cabecera-Centrodirectivo"/>
                    </w:pPr>
                  </w:p>
                  <w:p w14:paraId="0C14FBE9" w14:textId="77777777" w:rsidR="006537CB" w:rsidRDefault="006537CB" w:rsidP="006537CB"/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 wp14:anchorId="3A5A3792" wp14:editId="7E5EAA18">
          <wp:simplePos x="0" y="0"/>
          <wp:positionH relativeFrom="column">
            <wp:posOffset>-31750</wp:posOffset>
          </wp:positionH>
          <wp:positionV relativeFrom="page">
            <wp:posOffset>485140</wp:posOffset>
          </wp:positionV>
          <wp:extent cx="1259840" cy="713740"/>
          <wp:effectExtent l="0" t="0" r="0" b="0"/>
          <wp:wrapThrough wrapText="bothSides">
            <wp:wrapPolygon edited="0">
              <wp:start x="9145" y="0"/>
              <wp:lineTo x="6859" y="9224"/>
              <wp:lineTo x="0" y="18448"/>
              <wp:lineTo x="0" y="20754"/>
              <wp:lineTo x="21230" y="20754"/>
              <wp:lineTo x="21230" y="18448"/>
              <wp:lineTo x="17964" y="13260"/>
              <wp:lineTo x="14698" y="9224"/>
              <wp:lineTo x="12411" y="0"/>
              <wp:lineTo x="9145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fbH9FivMZi6oh9Bc8p5xr5snvWJDAYykBPJ63QFSclz0Vy+HZVT+10lqfM+jUDa4MdHIhBXwe9mn1LD3WACCg==" w:salt="iRW3pjy6AXMU2YNBv6KTT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17"/>
    <w:rsid w:val="00094096"/>
    <w:rsid w:val="001801C1"/>
    <w:rsid w:val="00212817"/>
    <w:rsid w:val="0022205B"/>
    <w:rsid w:val="0038559A"/>
    <w:rsid w:val="003B57D3"/>
    <w:rsid w:val="00422E85"/>
    <w:rsid w:val="00581C69"/>
    <w:rsid w:val="006308C0"/>
    <w:rsid w:val="006537CB"/>
    <w:rsid w:val="00847F9E"/>
    <w:rsid w:val="008E0990"/>
    <w:rsid w:val="00C85CCE"/>
    <w:rsid w:val="00DF392A"/>
    <w:rsid w:val="00F6568D"/>
    <w:rsid w:val="00FE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C6103"/>
  <w15:chartTrackingRefBased/>
  <w15:docId w15:val="{4A7BEA25-5FAD-463F-9869-31DDB45A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7D3"/>
    <w:pPr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1C6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1C6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581C6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1C6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abecera-Centrodirectivo">
    <w:name w:val="Cabecera - Centro directivo"/>
    <w:autoRedefine/>
    <w:qFormat/>
    <w:rsid w:val="006537CB"/>
    <w:pPr>
      <w:spacing w:before="40" w:after="0" w:line="240" w:lineRule="auto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6537CB"/>
    <w:pPr>
      <w:spacing w:after="0" w:line="240" w:lineRule="auto"/>
    </w:pPr>
    <w:rPr>
      <w:rFonts w:ascii="Source Sans Pro Semibold" w:eastAsia="Noto Sans HK Medium" w:hAnsi="Source Sans Pro Semibold" w:cs="Times New Roman"/>
      <w:sz w:val="18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 SANTANA MARTINEZ</dc:creator>
  <cp:keywords/>
  <dc:description/>
  <cp:lastModifiedBy>JOSE ROSALES</cp:lastModifiedBy>
  <cp:revision>13</cp:revision>
  <dcterms:created xsi:type="dcterms:W3CDTF">2019-03-05T13:47:00Z</dcterms:created>
  <dcterms:modified xsi:type="dcterms:W3CDTF">2023-02-02T11:56:00Z</dcterms:modified>
</cp:coreProperties>
</file>